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Goddess Culberson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Senior Web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Info@divinedesigns.io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|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https://divinedesigns.io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Analytical and creative Senior Web Developer with over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years of experience in developing responsive, user-friendly websites and applications. Expertise in modern web technologies and a proven track record of delivering high-quality solutions in various industries including finance, media, and consumer engagement.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Front-End Development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HTML5, CSS3, SCSS, Angular, NgRx, React, Redux, JavaScript, JQuery, Responsive Design, Wireframing, SQL, Node, Jasmine, and Karma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Tools &amp; Technologies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Photoshop, Procreate, WordPress, DotCMS, PlanetPress, Figma, Zeplin, Git, BitBucket, Jasmine, Karma, Jenkins, Splunk, Jira, Squarespace, Shopify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Methodologies &amp; Practices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Agile Methodologies, A/B Testing, User Research, ADA/WCAG Compliance, Analytical Troubleshooting, Creative Solutions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Code Drifters, LLC.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Operations Manager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| 2024 – current | Hybrid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General Operations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Payroll manager, legal/compliance officer dealing with employee relations and multi-state tax regulations, event manager, annual company retreat manager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Montana Psychiatric Access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Lead project manager for one UX Designer and Junior Developer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Dedicated client liaison accessing needs, gathering requirements/assets, built cms training documents and trained client on their data management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Retained developer for future feature additions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Lead developer for custom functionalities and monitor of code and design quality.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GreenSky | Goldman Sachs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Senior Front-End Developer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| 2018 – 2024 | Hybrid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Daily Letter Conversion Project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Converted multiple daily letters sent to consumers into web-standard HTML5/CSS within DotCMS, ensuring consistent and compliant communication.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Oversaw the creation of team-specific code standards as the team's sole web developer, enhancing productivity and code quality.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Generated CSV files of data via SQL in Microsoft Azure for all three environments (excluding production) for robust testing.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Conducted automated testing via Postman to generate sample documents pulled from the internal CSR platform, ensuring accuracy and efficiency.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Customer Relief &amp; Dispute Effort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Developed core functionality within the internal customer account platform using Angular and NgRx to allow CSR’s to:</w:t>
      </w:r>
    </w:p>
    <w:p w:rsidR="00000000" w:rsidDel="00000000" w:rsidP="00000000" w:rsidRDefault="00000000" w:rsidRPr="00000000" w14:paraId="00000021">
      <w:pPr>
        <w:numPr>
          <w:ilvl w:val="2"/>
          <w:numId w:val="3"/>
        </w:numPr>
        <w:spacing w:after="0" w:before="0" w:line="240" w:lineRule="auto"/>
        <w:ind w:left="21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Place accounts under temporary relief due to hardship and/or disaster.</w:t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spacing w:after="0" w:before="0" w:line="240" w:lineRule="auto"/>
        <w:ind w:left="21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Dispute transactions and charges either partially or fully, categorized by transaction type(s).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spacing w:after="0" w:before="0" w:line="240" w:lineRule="auto"/>
        <w:ind w:left="21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Instantly update the state of the account to be accessed company-wide, improving response time and service accuracy.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Customer Dispute Reversal Effort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Added functionality to reverse previous disputes, enabling the cancellation or editing of disputes, thus maintaining accurate and up-to-date account information.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ADA/WCAG Compliance Initiative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Spearheaded the initiative to bring all consumer-facing sites up to ADA/WCAG compliance using WordPress, Angular, and DotCMS.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Implemented design and development changes to meet accessibility standards, improving usability for all users.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Ongoing Web Maintenance and Compliance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Up-kept and updated dynamic legal content, graphics, and compliance issues across web applications and web-hosted documents.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Ensured continuous compliance with regulatory requirements and company policies.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Collaboration and Teamwork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Collaborated with dedicated UX Designers to create user flows that effectively fulfilled requirements, resulting in improved user experiences.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28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Conducted tech and business demos at the close of each sprint, showcasing progress and gathering feedback from stakeholders.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Vorhees College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Media &amp; Web Consultant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(Contract) | 2023 | Remote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Managed and created content for social media platforms, significantly increasing engagement and website traffic.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Enhanced the college's online presence, contributing to successful outreach and fundraising efforts.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Cox Media Group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Frontend Software Engineer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(Contract) | 2017 – 2018 | Dunwoody GA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Developed a high-traffic, multi-branded membership site using React and Redux, ensuring seamless user experiences across media stations.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Created multiple mock-site iterations for user testing, closely collaborating with UI/UX designers to achieve engaging and feasible designs.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MoZeus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Jr. Software Engineer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| 2017 | Conyers GA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Built custom user engagements for brand events via a proprietary CMS, focusing on data collection and user interaction.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Provided HTML and CSS development for microsites and HTML email campaigns, ensuring effective marketing communication.</w:t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Nuracode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Jr. Software Engineer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| 2013 - 2015 | Atlanta GA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Developed customizable brand apps aimed at empowering minority women entrepreneurs, using WordPress, PHP, and MySQL.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Conducted front-end development and integrated customer assets, ensuring smooth app  </w:t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TWD Conglomerate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Web Master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| 2013 - 2015 | Atlanta GA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Served as the dedicated webmaster for nbcahof.com, managing web content and digital marketing efforts.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Created graphics and assisted in the coordination of national and semi-annual events, enhancing the organization's online presence.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0370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0370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0370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0370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0370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0370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0370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0370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0370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0370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0370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0370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0370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0370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0370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0370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0370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0370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0370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370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03709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7037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Strong">
    <w:name w:val="Strong"/>
    <w:basedOn w:val="DefaultParagraphFont"/>
    <w:uiPriority w:val="22"/>
    <w:qFormat w:val="1"/>
    <w:rsid w:val="00703709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703709"/>
  </w:style>
  <w:style w:type="character" w:styleId="Hyperlink">
    <w:name w:val="Hyperlink"/>
    <w:basedOn w:val="DefaultParagraphFont"/>
    <w:uiPriority w:val="99"/>
    <w:semiHidden w:val="1"/>
    <w:unhideWhenUsed w:val="1"/>
    <w:rsid w:val="00703709"/>
    <w:rPr>
      <w:color w:val="0000ff"/>
      <w:u w:val="single"/>
    </w:rPr>
  </w:style>
  <w:style w:type="character" w:styleId="Emphasis">
    <w:name w:val="Emphasis"/>
    <w:basedOn w:val="DefaultParagraphFont"/>
    <w:uiPriority w:val="20"/>
    <w:qFormat w:val="1"/>
    <w:rsid w:val="00703709"/>
    <w:rPr>
      <w:i w:val="1"/>
      <w:i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" TargetMode="External"/><Relationship Id="rId8" Type="http://schemas.openxmlformats.org/officeDocument/2006/relationships/hyperlink" Target="https://divinedesigns.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4HRzndhEqSZTHAjTW/S/fR4Ww==">CgMxLjA4AHIhMW1iMEwxS2RfaWFDaXFocEhxN2dPS0ViOC1LM1pta3p3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2024-07-10T03:16:00Z</dcterms:created>
  <dc:creator>16782923037</dc:creator>
</cp:coreProperties>
</file>